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F7DC75">
      <w:pPr>
        <w:pStyle w:val="2"/>
        <w:keepNext w:val="0"/>
        <w:keepLines w:val="0"/>
        <w:widowControl/>
        <w:suppressLineNumbers w:val="0"/>
        <w:rPr>
          <w:rFonts w:hint="default" w:ascii="Times New Roman" w:hAnsi="Times New Roman" w:cs="Times New Roman"/>
        </w:rPr>
      </w:pPr>
      <w:bookmarkStart w:id="0" w:name="_GoBack"/>
      <w:r>
        <w:rPr>
          <w:rFonts w:hint="default" w:ascii="Times New Roman" w:hAnsi="Times New Roman" w:cs="Times New Roman"/>
        </w:rPr>
        <w:t>&lt;Document: April 1956, Draft Charter of Youth Amateur Sports Schools&gt; – 2 Coded References [11.89% Coverage]</w:t>
      </w:r>
    </w:p>
    <w:p w14:paraId="261A8355">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1 (5.70%)</w:t>
      </w:r>
      <w:r>
        <w:rPr>
          <w:rFonts w:hint="default" w:ascii="Times New Roman" w:hAnsi="Times New Roman" w:cs="Times New Roman"/>
        </w:rPr>
        <w:br w:type="textWrapping"/>
      </w:r>
      <w:r>
        <w:rPr>
          <w:rFonts w:hint="default" w:ascii="Times New Roman" w:hAnsi="Times New Roman" w:cs="Times New Roman"/>
        </w:rPr>
        <w:t>Article 1: The purpose of Youth Amateur Sports Schools is to make use of students’ spare time to cultivate outstanding young athletes, strengthen their ideological and moral character, improve their athletic skills, and enable them to acquire basic knowledge and skills in coaching and refereeing.</w:t>
      </w:r>
    </w:p>
    <w:p w14:paraId="051AEAC4">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2 (6.19%)</w:t>
      </w:r>
      <w:r>
        <w:rPr>
          <w:rFonts w:hint="default" w:ascii="Times New Roman" w:hAnsi="Times New Roman" w:cs="Times New Roman"/>
        </w:rPr>
        <w:br w:type="textWrapping"/>
      </w:r>
      <w:r>
        <w:rPr>
          <w:rFonts w:hint="default" w:ascii="Times New Roman" w:hAnsi="Times New Roman" w:cs="Times New Roman"/>
        </w:rPr>
        <w:t>Article 3: Youth Amateur Sports Schools shall be organized by the Sports Commission (hereinafter referred to as the Sports Commission) and sports associations. Schools established by sports associations must be filed with the local Sports Commission. Sports Commissions at all levels are responsible for supervising, inspecting, and assisting Youth Amateur Sports Schools within their jurisdictions.</w:t>
      </w:r>
    </w:p>
    <w:p w14:paraId="4620A68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1823F34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April 1956, Draft Charter of Juvenile Amateur Sports Schools&gt; – 2 Coded References [11.47% Coverage]</w:t>
      </w:r>
    </w:p>
    <w:p w14:paraId="270B2341">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1 (4.67%)</w:t>
      </w:r>
      <w:r>
        <w:rPr>
          <w:rFonts w:hint="default" w:ascii="Times New Roman" w:hAnsi="Times New Roman" w:cs="Times New Roman"/>
        </w:rPr>
        <w:br w:type="textWrapping"/>
      </w:r>
      <w:r>
        <w:rPr>
          <w:rFonts w:hint="default" w:ascii="Times New Roman" w:hAnsi="Times New Roman" w:cs="Times New Roman"/>
        </w:rPr>
        <w:t>Article 1: The purpose of Juvenile Amateur Sports Schools is to utilize extracurricular time to educate young athletes in the spirit of patriotism, promote their all-round physical development, enable them to master specialized sports techniques, and thereby cultivate outstanding athletes.</w:t>
      </w:r>
    </w:p>
    <w:p w14:paraId="0A410B73">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2 (6.80%)</w:t>
      </w:r>
      <w:r>
        <w:rPr>
          <w:rFonts w:hint="default" w:ascii="Times New Roman" w:hAnsi="Times New Roman" w:cs="Times New Roman"/>
        </w:rPr>
        <w:br w:type="textWrapping"/>
      </w:r>
      <w:r>
        <w:rPr>
          <w:rFonts w:hint="default" w:ascii="Times New Roman" w:hAnsi="Times New Roman" w:cs="Times New Roman"/>
        </w:rPr>
        <w:t>Article 3: Juvenile Amateur Sports Schools may be organized by the Sports Commission, sports associations, educational administrative departments, or other relevant institutions. Schools established by these departments must be filed with the local Sports Commission. Sports Commissions at all levels are responsible for supervision, inspection, and assistance.</w:t>
      </w:r>
    </w:p>
    <w:p w14:paraId="304C030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25F30CE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January 1958, Circular on Sports Work in 1958&gt; – 2 Coded References [47.24% Coverage]</w:t>
      </w:r>
    </w:p>
    <w:p w14:paraId="215686D6">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1 (38.85%)</w:t>
      </w:r>
      <w:r>
        <w:rPr>
          <w:rFonts w:hint="default" w:ascii="Times New Roman" w:hAnsi="Times New Roman" w:cs="Times New Roman"/>
        </w:rPr>
        <w:br w:type="textWrapping"/>
      </w:r>
      <w:r>
        <w:rPr>
          <w:rFonts w:hint="default" w:ascii="Times New Roman" w:hAnsi="Times New Roman" w:cs="Times New Roman"/>
        </w:rPr>
        <w:t>Establishing youth and juvenile amateur sports schools is an effective method for discovering and cultivating reserve athletic talent and an important form of extracurricular education for students. Wherever conditions permit, such schools should be widely established. All public sports venues, sports institutes, and sports schools should be responsible for operating one or more amateur sports schools primarily for secondary school students. Educational authorities are advised to require normal universities with physical education departments, well-equipped secondary schools, and teacher-training institutions to independently or jointly establish youth and juvenile amateur sports schools.</w:t>
      </w:r>
    </w:p>
    <w:p w14:paraId="7DF7791E">
      <w:pPr>
        <w:pStyle w:val="4"/>
        <w:keepNext w:val="0"/>
        <w:keepLines w:val="0"/>
        <w:widowControl/>
        <w:suppressLineNumbers w:val="0"/>
        <w:spacing w:beforeAutospacing="1" w:afterAutospacing="1"/>
        <w:rPr>
          <w:rFonts w:hint="default" w:ascii="Times New Roman" w:hAnsi="Times New Roman" w:cs="Times New Roman"/>
        </w:rPr>
      </w:pPr>
      <w:r>
        <w:rPr>
          <w:rStyle w:val="7"/>
          <w:rFonts w:hint="default" w:ascii="Times New Roman" w:hAnsi="Times New Roman" w:cs="Times New Roman"/>
        </w:rPr>
        <w:t>Reference 2 (8.39%)</w:t>
      </w:r>
      <w:r>
        <w:rPr>
          <w:rFonts w:hint="default" w:ascii="Times New Roman" w:hAnsi="Times New Roman" w:cs="Times New Roman"/>
        </w:rPr>
        <w:br w:type="textWrapping"/>
      </w:r>
      <w:r>
        <w:rPr>
          <w:rFonts w:hint="default" w:ascii="Times New Roman" w:hAnsi="Times New Roman" w:cs="Times New Roman"/>
        </w:rPr>
        <w:t>Well-equipped factories and mines within various industrial sectors are also encouraged to establish one or more amateur sports schools for young workers and youth.</w:t>
      </w:r>
    </w:p>
    <w:p w14:paraId="467D070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476FE90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1962, Summary of the 1962 National Sports Work Conference&gt; – 1 Coded Reference [40.56% Coverage]</w:t>
      </w:r>
    </w:p>
    <w:p w14:paraId="23129C12">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Strengthen amateur training and vigorously cultivate reserve talent. Amateur training includes youth amateur sports schools, national defense sports clubs, training at sports venues, and grassroots representative teams at municipal, county, school, and enterprise levels. Particular emphasis should be placed on effectively managing youth amateur sports schools. Experience has shown that such schools are an effective organizational form of amateur training. Their primary task is to cultivate reserve athletes who love the motherland, achieve comprehensive physical development, and master specialized techniques. They also serve to foster grassroots sports activists.</w:t>
      </w:r>
    </w:p>
    <w:p w14:paraId="36DD034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68E17FB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1963, Notice on the Trial Regulations for Sports Teams&gt; – 1 Coded Reference [12.30% Coverage]</w:t>
      </w:r>
    </w:p>
    <w:p w14:paraId="3AC92BB2">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Reserve talent for sports teams should be vigorously cultivated through youth amateur sports schools, national defense sports clubs, schools, factories and mines, grassroots representative teams, and municipal or county amateur teams. Youth amateur sports schools, in particular, serve as an important base for cultivating outstanding reserve athletes, and sports teams should strengthen their guidance. Provincial and regional Sports Commissions should support the People’s Liberation Army in selecting and cultivating athletes.</w:t>
      </w:r>
    </w:p>
    <w:p w14:paraId="0ED780C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04601CD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1964, Report of the National Sports Work Conference&gt; – 1 Coded Reference [98.10% Coverage]</w:t>
      </w:r>
    </w:p>
    <w:p w14:paraId="467FA03A">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Amateur training is a crucial link in implementing the principle of combining mass participation with performance improvement and has strategic significance for the development of sports. Various forms of amateur training should be fully utilized, especially youth amateur sports schools, to cultivate reserve talent for elite teams.</w:t>
      </w:r>
    </w:p>
    <w:p w14:paraId="463B6DF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03305E9F">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September 1964, Trial Regulations on Youth Amateur Sports Schools&gt; – 2 Coded References [12.57% Coverage]</w:t>
      </w:r>
    </w:p>
    <w:p w14:paraId="4DA6AA20">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Youth amateur sports schools are primarily organized by Sports Commissions at all levels, sports venues, national defense sports clubs, and related institutions. Qualified schools and factories may also establish such schools. Provincial-level Sports Commissions should directly operate one or two key schools to accumulate experience and guide broader practice. Schools should adhere to the amateur principle while adopting flexible organizational forms suited to local conditions.</w:t>
      </w:r>
    </w:p>
    <w:p w14:paraId="1779E14C">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Administratively, schools are under the leadership of their supervising departments and professionally guided by Sports Commissions, which are authorized to inspect, supervise, and assist in resolving difficulties.</w:t>
      </w:r>
    </w:p>
    <w:p w14:paraId="0440C20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790C1CA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May 1966, Report of the Party Committee of the State Sports Commission&gt; – 1 Coded Reference [86.67% Coverage]</w:t>
      </w:r>
    </w:p>
    <w:p w14:paraId="79F8A864">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Amateur training is both a primary means of improving mass sports standards and an indispensable link between mass participation and elite training. A tiered and interconnected amateur training network must be established, with key youth amateur sports schools serving as foundational bases. Improving the competence of amateur training coaches is a priority.</w:t>
      </w:r>
    </w:p>
    <w:p w14:paraId="02AD88A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26EE0C5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February 1973, Summary of the National Sports Work Conference&gt; – 1 Coded Reference [98.91% Coverage]</w:t>
      </w:r>
    </w:p>
    <w:p w14:paraId="7B6326BC">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Amateur training work must be strengthened, particularly leadership over youth and children’s training. Comprehensive planning and rational layout are required. Each province, municipality, and autonomous region should establish at least one key youth amateur sports school. A layered training network should gradually be formed to cultivate reserve talent for sports teams and technical backbones at the grassroots level.</w:t>
      </w:r>
    </w:p>
    <w:p w14:paraId="231EB2E4">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56F11ADD">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February 1974, Key Points of Sports Work&gt; – 1 Coded Reference [35.75% Coverage]</w:t>
      </w:r>
    </w:p>
    <w:p w14:paraId="14FE6FF3">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Children’s amateur sports schools should be vigorously developed and properly managed. Provincial Sports Commissions, in cooperation with educational departments, should establish at least one or two key schools. Key amateur sports schools should establish linkage mechanisms with elite teams to better align talent selection and training with the needs of elite sports.</w:t>
      </w:r>
    </w:p>
    <w:p w14:paraId="611BF80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39AC035F">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February 1978, Summary of the National Sports Work Conference&gt; – 1 Coded Reference [35.45% Coverage]</w:t>
      </w:r>
    </w:p>
    <w:p w14:paraId="53C5AE70">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Municipalities and qualified counties should cooperate with educational departments to strengthen key amateur sports schools. The guiding principle is “early cultivation, solid foundations, systematic training, and active improvement,” with the goal of delivering outstanding talent to professional teams.</w:t>
      </w:r>
    </w:p>
    <w:p w14:paraId="435A771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61596F8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1980, Several Issues Concerning the Construction of Elite Sports Teams&gt; – 1 Coded Reference [96.40% Coverage]</w:t>
      </w:r>
    </w:p>
    <w:p w14:paraId="0764F67A">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Sports teams should be structured into a three-tier system: elite teams (first line), amateur sports schools (second line), and school teams (third line), gradually forming a large-based, excellence-oriented, proportionally developed, and well-connected training network. Elite teams must recruit athletes who have undergone systematic amateur training. Coaches from elite teams should regularly provide technical guidance at amateur sports schools and school training sites. A coordinated and hierarchical reserve talent system must be established to ensure continuous talent supply.</w:t>
      </w:r>
    </w:p>
    <w:p w14:paraId="796EBAC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705F9A42">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2000, Measures for the Administration of Traditional Sports Schools&gt; – 5 Coded References [24.30% Coverage]</w:t>
      </w:r>
    </w:p>
    <w:p w14:paraId="0D66F68A">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Sports and education administrative departments at and above the county level are jointly responsible for managing traditional sports schools within their jurisdictions. Sports authorities oversee professional guidance, while education authorities handle daily management. Schools meeting specified criteria may apply for designation as traditional sports schools at provincial or national levels. Outstanding schools and individuals should receive commendations and awards.</w:t>
      </w:r>
    </w:p>
    <w:p w14:paraId="6FDCE09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53FC865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2017, Guiding Opinions on Strengthening the Cultivation of Competitive Sports Reserve Talent&gt; – 7 Coded References [29.92% Coverage]</w:t>
      </w:r>
    </w:p>
    <w:p w14:paraId="473E5FC3">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School sports serve as the foundation of reserve talent cultivation. Emphasis should be placed on enhancing physical education, promoting the “one school, one specialty” model, and strengthening the demonstration role of traditional sports schools.</w:t>
      </w:r>
    </w:p>
    <w:p w14:paraId="28768537">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Sports schools at various levels are the principal institutions for cultivating reserve talent, with clear differentiation among primary, intermediate, and advanced training stages. Social forces should be encouraged to participate in youth sports training, and diversified, market-oriented mechanisms should be promoted. Safety management, insurance systems, and scientific classification and evaluation of sports schools should be strengthened. National high-level reserve talent bases should be further developed to enhance talent development efficiency.</w:t>
      </w:r>
    </w:p>
    <w:p w14:paraId="4AF938E5">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4490954B">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2020, Opinions on Deepening the Integration of Sports and Education&gt; – 8 Coded References [26.86% Coverage]</w:t>
      </w:r>
    </w:p>
    <w:p w14:paraId="7E4EA286">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Schools at all levels are encouraged to establish representative teams and participate in regional and national leagues. Traditional and specialized sports schools should be integrated and jointly evaluated by education and sports authorities. Reform efforts should strengthen connections between national/provincial teams and high-level university teams. Sports schools should ensure that students’ compulsory education is fully incorporated into the national education system. Youth sports clubs are encouraged to develop under standardized access and regulatory mechanisms. An inter-ministerial joint conference system for youth sports work has been established to coordinate policies and address major issues.</w:t>
      </w:r>
    </w:p>
    <w:p w14:paraId="10FC9F5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0D88F961">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2021, 14th Five-Year Plan for Sports Development&gt; – 4 Coded References [2.65% Coverage]</w:t>
      </w:r>
    </w:p>
    <w:p w14:paraId="2D239B5C">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Support universities in establishing high-level sports teams and integrate them into national and provincial team systems. Provide policy and structural support to ensure coordination in training, competition, and athlete development. Strengthen reserve talent cultivation through integrated pathways linking primary school, secondary school, and university. Deepen reform of sports schools and enhance their role as primary institutions for reserve talent development.</w:t>
      </w:r>
    </w:p>
    <w:p w14:paraId="2ACAD36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0" o:spt="1" style="height:1.5pt;width:432pt;" fillcolor="#A0A0A0" filled="t" stroked="f" coordsize="21600,21600" o:hr="t" o:hrstd="t" o:hralign="center">
            <v:path/>
            <v:fill on="t" focussize="0,0"/>
            <v:stroke on="f"/>
            <v:imagedata o:title=""/>
            <o:lock v:ext="edit"/>
            <w10:wrap type="none"/>
            <w10:anchorlock/>
          </v:rect>
        </w:pict>
      </w:r>
    </w:p>
    <w:p w14:paraId="2AC9D8A2">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2022, Sports Law of the People’s Republic of China&gt; – 2 Coded References [0.78% Coverage]</w:t>
      </w:r>
    </w:p>
    <w:p w14:paraId="3EC0DAC2">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The state shall strengthen the development of sports schools and traditional sports schools, encourage amateur sports training, and cultivate outstanding reserve talent for competitive sports. Sports and education administrative departments must ensure that athletes undergoing compulsory education complete their schooling.</w:t>
      </w:r>
    </w:p>
    <w:p w14:paraId="5E50BE1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1" o:spt="1" style="height:1.5pt;width:432pt;" fillcolor="#A0A0A0" filled="t" stroked="f" coordsize="21600,21600" o:hr="t" o:hrstd="t" o:hralign="center">
            <v:path/>
            <v:fill on="t" focussize="0,0"/>
            <v:stroke on="f"/>
            <v:imagedata o:title=""/>
            <o:lock v:ext="edit"/>
            <w10:wrap type="none"/>
            <w10:anchorlock/>
          </v:rect>
        </w:pict>
      </w:r>
    </w:p>
    <w:p w14:paraId="2B757C3C">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2022, Ministry of Education Notice on Further Strengthening High-Level University Sports Teams&gt; – 1 Coded Reference [13.02% Coverage]</w:t>
      </w:r>
    </w:p>
    <w:p w14:paraId="4FB0740F">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Thoroughly implement the guiding principles of the 19th Party Congress and subsequent plenary sessions, adhere to Xi Jinping Thought on Socialism with Chinese Characteristics for a New Era, and fully implement the Party’s education policy. Strengthen the quality and standardized management of high-level university sports teams and continuously improve China’s competitive sports talent development system.</w:t>
      </w:r>
    </w:p>
    <w:p w14:paraId="7BBE87CA">
      <w:pPr>
        <w:pStyle w:val="4"/>
        <w:keepNext w:val="0"/>
        <w:keepLines w:val="0"/>
        <w:widowControl/>
        <w:suppressLineNumbers w:val="0"/>
        <w:spacing w:beforeAutospacing="1" w:afterAutospacing="1"/>
        <w:rPr>
          <w:rFonts w:hint="default" w:ascii="Times New Roman" w:hAnsi="Times New Roman" w:cs="Times New Roman"/>
        </w:rPr>
      </w:pPr>
      <w:r>
        <w:rPr>
          <w:rFonts w:hint="default" w:ascii="Times New Roman" w:hAnsi="Times New Roman" w:cs="Times New Roman"/>
        </w:rPr>
        <w:t>Deepen the integration of sports and education, establish coordinated talent cultivation mechanisms, and ensure balanced development between academic studies and training for high-level university athletes. Strengthen governance, enforce strict management standards, clarify responsibilities, and establish a closed-loop management system covering athlete qualification, enrollment status, credit recognition, training and competition, injury and withdrawal, rewards and penalties, and competition requirements. Enhance compliance oversight, establish exit mechanisms, uphold fairness, and respect educational principles to promote the comprehensive development of high-level student-athletes.</w:t>
      </w:r>
    </w:p>
    <w:p w14:paraId="3EA43B27">
      <w:pPr>
        <w:pStyle w:val="8"/>
        <w:rPr>
          <w:rFonts w:hint="default" w:ascii="Times New Roman" w:hAnsi="Times New Roman" w:eastAsia="Segoe UI" w:cs="Times New Roman"/>
          <w:sz w:val="20"/>
        </w:rPr>
      </w:pPr>
    </w:p>
    <w:p w14:paraId="6220E591">
      <w:pPr>
        <w:pStyle w:val="8"/>
        <w:rPr>
          <w:rFonts w:hint="default" w:ascii="Times New Roman" w:hAnsi="Times New Roman" w:eastAsia="Segoe UI" w:cs="Times New Roman"/>
          <w:sz w:val="20"/>
        </w:rPr>
      </w:pPr>
    </w:p>
    <w:bookmarkEnd w:id="0"/>
    <w:sectPr>
      <w:pgSz w:w="11909" w:h="16834"/>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86"/>
    <w:family w:val="swiss"/>
    <w:pitch w:val="default"/>
    <w:sig w:usb0="E4002EFF" w:usb1="C000E47F"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1602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4294967295" w:semiHidden="0" w:name="heading 1"/>
    <w:lsdException w:unhideWhenUsed="0" w:uiPriority="4294967295" w:semiHidden="0" w:name="heading 2"/>
    <w:lsdException w:unhideWhenUsed="0" w:uiPriority="4294967295" w:semiHidden="0" w:name="heading 3"/>
    <w:lsdException w:unhideWhenUsed="0" w:uiPriority="4294967295" w:semiHidden="0" w:name="heading 4"/>
    <w:lsdException w:unhideWhenUsed="0" w:uiPriority="4294967295" w:semiHidden="0" w:name="heading 5"/>
    <w:lsdException w:unhideWhenUsed="0" w:uiPriority="4294967295" w:semiHidden="0" w:name="heading 6"/>
    <w:lsdException w:unhideWhenUsed="0" w:uiPriority="4294967295" w:semiHidden="0" w:name="heading 7"/>
    <w:lsdException w:unhideWhenUsed="0" w:uiPriority="4294967295" w:semiHidden="0" w:name="heading 8"/>
    <w:lsdException w:unhideWhenUsed="0" w:uiPriority="4294967295" w:semiHidden="0" w:name="heading 9"/>
    <w:lsdException w:unhideWhenUsed="0" w:uiPriority="4294967295" w:semiHidden="0" w:name="index 1"/>
    <w:lsdException w:unhideWhenUsed="0" w:uiPriority="4294967295" w:semiHidden="0" w:name="index 2"/>
    <w:lsdException w:unhideWhenUsed="0" w:uiPriority="4294967295" w:semiHidden="0" w:name="index 3"/>
    <w:lsdException w:unhideWhenUsed="0" w:uiPriority="4294967295" w:semiHidden="0" w:name="index 4"/>
    <w:lsdException w:unhideWhenUsed="0" w:uiPriority="4294967295" w:semiHidden="0" w:name="index 5"/>
    <w:lsdException w:unhideWhenUsed="0" w:uiPriority="4294967295" w:semiHidden="0" w:name="index 6"/>
    <w:lsdException w:unhideWhenUsed="0" w:uiPriority="4294967295" w:semiHidden="0" w:name="index 7"/>
    <w:lsdException w:unhideWhenUsed="0" w:uiPriority="4294967295" w:semiHidden="0" w:name="index 8"/>
    <w:lsdException w:unhideWhenUsed="0" w:uiPriority="4294967295" w:semiHidden="0" w:name="index 9"/>
    <w:lsdException w:unhideWhenUsed="0" w:uiPriority="4294967295" w:semiHidden="0" w:name="toc 1"/>
    <w:lsdException w:unhideWhenUsed="0" w:uiPriority="4294967295" w:semiHidden="0" w:name="toc 2"/>
    <w:lsdException w:unhideWhenUsed="0" w:uiPriority="4294967295" w:semiHidden="0" w:name="toc 3"/>
    <w:lsdException w:unhideWhenUsed="0" w:uiPriority="4294967295" w:semiHidden="0" w:name="toc 4"/>
    <w:lsdException w:unhideWhenUsed="0" w:uiPriority="4294967295" w:semiHidden="0" w:name="toc 5"/>
    <w:lsdException w:unhideWhenUsed="0" w:uiPriority="4294967295" w:semiHidden="0" w:name="toc 6"/>
    <w:lsdException w:unhideWhenUsed="0" w:uiPriority="4294967295" w:semiHidden="0" w:name="toc 7"/>
    <w:lsdException w:unhideWhenUsed="0" w:uiPriority="4294967295" w:semiHidden="0" w:name="toc 8"/>
    <w:lsdException w:unhideWhenUsed="0" w:uiPriority="4294967295" w:semiHidden="0" w:name="toc 9"/>
    <w:lsdException w:unhideWhenUsed="0" w:uiPriority="4294967295" w:semiHidden="0" w:name="Normal Indent"/>
    <w:lsdException w:unhideWhenUsed="0" w:uiPriority="4294967295" w:semiHidden="0" w:name="footnote text"/>
    <w:lsdException w:unhideWhenUsed="0" w:uiPriority="4294967295" w:semiHidden="0" w:name="annotation text"/>
    <w:lsdException w:unhideWhenUsed="0" w:uiPriority="4294967295" w:semiHidden="0" w:name="header"/>
    <w:lsdException w:unhideWhenUsed="0" w:uiPriority="4294967295" w:semiHidden="0" w:name="footer"/>
    <w:lsdException w:unhideWhenUsed="0" w:uiPriority="4294967295" w:semiHidden="0" w:name="index heading"/>
    <w:lsdException w:unhideWhenUsed="0" w:uiPriority="4294967295" w:semiHidden="0" w:name="caption"/>
    <w:lsdException w:unhideWhenUsed="0" w:uiPriority="4294967295" w:semiHidden="0" w:name="table of figures"/>
    <w:lsdException w:unhideWhenUsed="0" w:uiPriority="4294967295" w:semiHidden="0" w:name="envelope address"/>
    <w:lsdException w:unhideWhenUsed="0" w:uiPriority="4294967295" w:semiHidden="0" w:name="envelope return"/>
    <w:lsdException w:unhideWhenUsed="0" w:uiPriority="4294967295" w:semiHidden="0" w:name="footnote reference"/>
    <w:lsdException w:unhideWhenUsed="0" w:uiPriority="4294967295" w:semiHidden="0" w:name="annotation reference"/>
    <w:lsdException w:unhideWhenUsed="0" w:uiPriority="4294967295" w:semiHidden="0" w:name="line number"/>
    <w:lsdException w:unhideWhenUsed="0" w:uiPriority="4294967295" w:semiHidden="0" w:name="page number"/>
    <w:lsdException w:unhideWhenUsed="0" w:uiPriority="4294967295" w:semiHidden="0" w:name="endnote reference"/>
    <w:lsdException w:unhideWhenUsed="0" w:uiPriority="4294967295" w:semiHidden="0" w:name="endnote text"/>
    <w:lsdException w:unhideWhenUsed="0" w:uiPriority="4294967295" w:semiHidden="0" w:name="table of authorities"/>
    <w:lsdException w:unhideWhenUsed="0" w:uiPriority="4294967295" w:semiHidden="0" w:name="macro"/>
    <w:lsdException w:unhideWhenUsed="0" w:uiPriority="4294967295" w:semiHidden="0" w:name="toa heading"/>
    <w:lsdException w:unhideWhenUsed="0" w:uiPriority="4294967295" w:semiHidden="0" w:name="List"/>
    <w:lsdException w:unhideWhenUsed="0" w:uiPriority="4294967295" w:semiHidden="0" w:name="List Bullet"/>
    <w:lsdException w:unhideWhenUsed="0" w:uiPriority="4294967295" w:semiHidden="0" w:name="List Number"/>
    <w:lsdException w:unhideWhenUsed="0" w:uiPriority="4294967295" w:semiHidden="0" w:name="List 2"/>
    <w:lsdException w:unhideWhenUsed="0" w:uiPriority="4294967295" w:semiHidden="0" w:name="List 3"/>
    <w:lsdException w:unhideWhenUsed="0" w:uiPriority="4294967295" w:semiHidden="0" w:name="List 4"/>
    <w:lsdException w:unhideWhenUsed="0" w:uiPriority="4294967295" w:semiHidden="0" w:name="List 5"/>
    <w:lsdException w:unhideWhenUsed="0" w:uiPriority="4294967295" w:semiHidden="0" w:name="List Bullet 2"/>
    <w:lsdException w:unhideWhenUsed="0" w:uiPriority="4294967295" w:semiHidden="0" w:name="List Bullet 3"/>
    <w:lsdException w:unhideWhenUsed="0" w:uiPriority="4294967295" w:semiHidden="0" w:name="List Bullet 4"/>
    <w:lsdException w:unhideWhenUsed="0" w:uiPriority="4294967295" w:semiHidden="0" w:name="List Bullet 5"/>
    <w:lsdException w:unhideWhenUsed="0" w:uiPriority="4294967295" w:semiHidden="0" w:name="List Number 2"/>
    <w:lsdException w:unhideWhenUsed="0" w:uiPriority="4294967295" w:semiHidden="0" w:name="List Number 3"/>
    <w:lsdException w:unhideWhenUsed="0" w:uiPriority="4294967295" w:semiHidden="0" w:name="List Number 4"/>
    <w:lsdException w:unhideWhenUsed="0" w:uiPriority="4294967295" w:semiHidden="0" w:name="List Number 5"/>
    <w:lsdException w:unhideWhenUsed="0" w:uiPriority="4294967295" w:semiHidden="0" w:name="Title"/>
    <w:lsdException w:unhideWhenUsed="0" w:uiPriority="4294967295" w:semiHidden="0" w:name="Closing"/>
    <w:lsdException w:unhideWhenUsed="0" w:uiPriority="4294967295" w:semiHidden="0" w:name="Signature"/>
    <w:lsdException w:qFormat="1" w:unhideWhenUsed="0" w:uiPriority="0" w:semiHidden="0" w:name="Default Paragraph Font"/>
    <w:lsdException w:qFormat="1" w:unhideWhenUsed="0" w:uiPriority="0" w:semiHidden="0" w:name="Body Text"/>
    <w:lsdException w:unhideWhenUsed="0" w:uiPriority="4294967295" w:semiHidden="0" w:name="Body Text Indent"/>
    <w:lsdException w:unhideWhenUsed="0" w:uiPriority="4294967295" w:semiHidden="0" w:name="List Continue"/>
    <w:lsdException w:unhideWhenUsed="0" w:uiPriority="4294967295" w:semiHidden="0" w:name="List Continue 2"/>
    <w:lsdException w:unhideWhenUsed="0" w:uiPriority="4294967295" w:semiHidden="0" w:name="List Continue 3"/>
    <w:lsdException w:unhideWhenUsed="0" w:uiPriority="4294967295" w:semiHidden="0" w:name="List Continue 4"/>
    <w:lsdException w:unhideWhenUsed="0" w:uiPriority="4294967295" w:semiHidden="0" w:name="List Continue 5"/>
    <w:lsdException w:unhideWhenUsed="0" w:uiPriority="4294967295" w:semiHidden="0" w:name="Message Header"/>
    <w:lsdException w:unhideWhenUsed="0" w:uiPriority="4294967295" w:semiHidden="0" w:name="Subtitle"/>
    <w:lsdException w:unhideWhenUsed="0" w:uiPriority="4294967295" w:semiHidden="0" w:name="Salutation"/>
    <w:lsdException w:unhideWhenUsed="0" w:uiPriority="4294967295" w:semiHidden="0" w:name="Date"/>
    <w:lsdException w:unhideWhenUsed="0" w:uiPriority="4294967295" w:semiHidden="0" w:name="Body Text First Indent"/>
    <w:lsdException w:unhideWhenUsed="0" w:uiPriority="4294967295" w:semiHidden="0" w:name="Body Text First Indent 2"/>
    <w:lsdException w:unhideWhenUsed="0" w:uiPriority="4294967295" w:semiHidden="0" w:name="Note Heading"/>
    <w:lsdException w:unhideWhenUsed="0" w:uiPriority="4294967295" w:semiHidden="0" w:name="Body Text 2"/>
    <w:lsdException w:unhideWhenUsed="0" w:uiPriority="4294967295" w:semiHidden="0" w:name="Body Text 3"/>
    <w:lsdException w:unhideWhenUsed="0" w:uiPriority="4294967295" w:semiHidden="0" w:name="Body Text Indent 2"/>
    <w:lsdException w:unhideWhenUsed="0" w:uiPriority="4294967295" w:semiHidden="0" w:name="Body Text Indent 3"/>
    <w:lsdException w:unhideWhenUsed="0" w:uiPriority="4294967295" w:semiHidden="0" w:name="Block Text"/>
    <w:lsdException w:unhideWhenUsed="0" w:uiPriority="4294967295" w:semiHidden="0" w:name="Hyperlink"/>
    <w:lsdException w:unhideWhenUsed="0" w:uiPriority="4294967295" w:semiHidden="0" w:name="FollowedHyperlink"/>
    <w:lsdException w:unhideWhenUsed="0" w:uiPriority="4294967295" w:semiHidden="0" w:name="Strong"/>
    <w:lsdException w:unhideWhenUsed="0" w:uiPriority="4294967295" w:semiHidden="0" w:name="Emphasis"/>
    <w:lsdException w:unhideWhenUsed="0" w:uiPriority="4294967295" w:semiHidden="0" w:name="Document Map"/>
    <w:lsdException w:unhideWhenUsed="0" w:uiPriority="4294967295" w:semiHidden="0" w:name="Plain Text"/>
    <w:lsdException w:unhideWhenUsed="0" w:uiPriority="4294967295" w:semiHidden="0" w:name="E-mail Signature"/>
    <w:lsdException w:qFormat="1" w:unhideWhenUsed="0" w:uiPriority="0" w:semiHidden="0" w:name="Normal (Web)"/>
    <w:lsdException w:unhideWhenUsed="0" w:uiPriority="4294967295" w:semiHidden="0" w:name="HTML Acronym"/>
    <w:lsdException w:unhideWhenUsed="0" w:uiPriority="4294967295" w:semiHidden="0" w:name="HTML Address"/>
    <w:lsdException w:unhideWhenUsed="0" w:uiPriority="4294967295" w:semiHidden="0" w:name="HTML Cite"/>
    <w:lsdException w:unhideWhenUsed="0" w:uiPriority="4294967295" w:semiHidden="0" w:name="HTML Code"/>
    <w:lsdException w:unhideWhenUsed="0" w:uiPriority="4294967295" w:semiHidden="0" w:name="HTML Definition"/>
    <w:lsdException w:unhideWhenUsed="0" w:uiPriority="4294967295" w:semiHidden="0" w:name="HTML Keyboard"/>
    <w:lsdException w:unhideWhenUsed="0" w:uiPriority="4294967295" w:semiHidden="0" w:name="HTML Preformatted"/>
    <w:lsdException w:unhideWhenUsed="0" w:uiPriority="4294967295" w:semiHidden="0" w:name="HTML Sample"/>
    <w:lsdException w:unhideWhenUsed="0" w:uiPriority="4294967295" w:semiHidden="0" w:name="HTML Typewriter"/>
    <w:lsdException w:unhideWhenUsed="0" w:uiPriority="4294967295" w:semiHidden="0" w:name="HTML Variable"/>
    <w:lsdException w:unhideWhenUsed="0" w:uiPriority="4294967295" w:semiHidden="0" w:name="Normal Table"/>
    <w:lsdException w:unhideWhenUsed="0" w:uiPriority="4294967295" w:semiHidden="0" w:name="annotation subject"/>
    <w:lsdException w:unhideWhenUsed="0" w:uiPriority="4294967295" w:semiHidden="0" w:name="Table Simple 1"/>
    <w:lsdException w:unhideWhenUsed="0" w:uiPriority="4294967295" w:semiHidden="0" w:name="Table Simple 2"/>
    <w:lsdException w:unhideWhenUsed="0" w:uiPriority="4294967295" w:semiHidden="0" w:name="Table Simple 3"/>
    <w:lsdException w:unhideWhenUsed="0" w:uiPriority="4294967295" w:semiHidden="0" w:name="Table Classic 1"/>
    <w:lsdException w:unhideWhenUsed="0" w:uiPriority="4294967295" w:semiHidden="0" w:name="Table Classic 2"/>
    <w:lsdException w:unhideWhenUsed="0" w:uiPriority="4294967295" w:semiHidden="0" w:name="Table Classic 3"/>
    <w:lsdException w:unhideWhenUsed="0" w:uiPriority="4294967295" w:semiHidden="0" w:name="Table Classic 4"/>
    <w:lsdException w:unhideWhenUsed="0" w:uiPriority="4294967295" w:semiHidden="0" w:name="Table Colorful 1"/>
    <w:lsdException w:unhideWhenUsed="0" w:uiPriority="4294967295" w:semiHidden="0" w:name="Table Colorful 2"/>
    <w:lsdException w:unhideWhenUsed="0" w:uiPriority="4294967295" w:semiHidden="0" w:name="Table Colorful 3"/>
    <w:lsdException w:unhideWhenUsed="0" w:uiPriority="4294967295" w:semiHidden="0" w:name="Table Columns 1"/>
    <w:lsdException w:unhideWhenUsed="0" w:uiPriority="4294967295" w:semiHidden="0" w:name="Table Columns 2"/>
    <w:lsdException w:unhideWhenUsed="0" w:uiPriority="4294967295" w:semiHidden="0" w:name="Table Columns 3"/>
    <w:lsdException w:unhideWhenUsed="0" w:uiPriority="4294967295" w:semiHidden="0" w:name="Table Columns 4"/>
    <w:lsdException w:unhideWhenUsed="0" w:uiPriority="4294967295" w:semiHidden="0" w:name="Table Columns 5"/>
    <w:lsdException w:unhideWhenUsed="0" w:uiPriority="4294967295" w:semiHidden="0" w:name="Table Grid 1"/>
    <w:lsdException w:unhideWhenUsed="0" w:uiPriority="4294967295" w:semiHidden="0" w:name="Table Grid 2"/>
    <w:lsdException w:unhideWhenUsed="0" w:uiPriority="4294967295" w:semiHidden="0" w:name="Table Grid 3"/>
    <w:lsdException w:unhideWhenUsed="0" w:uiPriority="4294967295" w:semiHidden="0" w:name="Table Grid 4"/>
    <w:lsdException w:unhideWhenUsed="0" w:uiPriority="4294967295" w:semiHidden="0" w:name="Table Grid 5"/>
    <w:lsdException w:unhideWhenUsed="0" w:uiPriority="4294967295" w:semiHidden="0" w:name="Table Grid 6"/>
    <w:lsdException w:unhideWhenUsed="0" w:uiPriority="4294967295" w:semiHidden="0" w:name="Table Grid 7"/>
    <w:lsdException w:unhideWhenUsed="0" w:uiPriority="4294967295" w:semiHidden="0" w:name="Table Grid 8"/>
    <w:lsdException w:unhideWhenUsed="0" w:uiPriority="4294967295" w:semiHidden="0" w:name="Table List 1"/>
    <w:lsdException w:unhideWhenUsed="0" w:uiPriority="4294967295" w:semiHidden="0" w:name="Table List 2"/>
    <w:lsdException w:unhideWhenUsed="0" w:uiPriority="4294967295" w:semiHidden="0" w:name="Table List 3"/>
    <w:lsdException w:unhideWhenUsed="0" w:uiPriority="4294967295" w:semiHidden="0" w:name="Table List 4"/>
    <w:lsdException w:unhideWhenUsed="0" w:uiPriority="4294967295" w:semiHidden="0" w:name="Table List 5"/>
    <w:lsdException w:unhideWhenUsed="0" w:uiPriority="4294967295" w:semiHidden="0" w:name="Table List 6"/>
    <w:lsdException w:unhideWhenUsed="0" w:uiPriority="4294967295" w:semiHidden="0" w:name="Table List 7"/>
    <w:lsdException w:unhideWhenUsed="0" w:uiPriority="4294967295" w:semiHidden="0" w:name="Table List 8"/>
    <w:lsdException w:unhideWhenUsed="0" w:uiPriority="4294967295" w:semiHidden="0" w:name="Table 3D effects 1"/>
    <w:lsdException w:unhideWhenUsed="0" w:uiPriority="4294967295" w:semiHidden="0" w:name="Table 3D effects 2"/>
    <w:lsdException w:unhideWhenUsed="0" w:uiPriority="4294967295" w:semiHidden="0" w:name="Table 3D effects 3"/>
    <w:lsdException w:unhideWhenUsed="0" w:uiPriority="4294967295" w:semiHidden="0" w:name="Table Contemporary"/>
    <w:lsdException w:unhideWhenUsed="0" w:uiPriority="4294967295" w:semiHidden="0" w:name="Table Elegant"/>
    <w:lsdException w:unhideWhenUsed="0" w:uiPriority="4294967295" w:semiHidden="0" w:name="Table Professional"/>
    <w:lsdException w:unhideWhenUsed="0" w:uiPriority="4294967295" w:semiHidden="0" w:name="Table Subtle 1"/>
    <w:lsdException w:unhideWhenUsed="0" w:uiPriority="4294967295" w:semiHidden="0" w:name="Table Subtle 2"/>
    <w:lsdException w:unhideWhenUsed="0" w:uiPriority="4294967295" w:semiHidden="0" w:name="Table Web 1"/>
    <w:lsdException w:unhideWhenUsed="0" w:uiPriority="4294967295" w:semiHidden="0" w:name="Table Web 2"/>
    <w:lsdException w:unhideWhenUsed="0" w:uiPriority="4294967295" w:semiHidden="0" w:name="Table Web 3"/>
    <w:lsdException w:unhideWhenUsed="0" w:uiPriority="4294967295" w:semiHidden="0" w:name="Balloon Text"/>
    <w:lsdException w:unhideWhenUsed="0" w:uiPriority="4294967295" w:semiHidden="0" w:name="Table Grid"/>
    <w:lsdException w:unhideWhenUsed="0" w:uiPriority="4294967295"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line="400" w:lineRule="exact"/>
      <w:ind w:firstLine="643"/>
      <w:jc w:val="both"/>
    </w:pPr>
    <w:rPr>
      <w:rFonts w:ascii="Times New Roman" w:hAnsi="Times New Roman" w:eastAsia="Times New Roman"/>
      <w:sz w:val="24"/>
    </w:rPr>
  </w:style>
  <w:style w:type="paragraph" w:styleId="2">
    <w:name w:val="heading 3"/>
    <w:basedOn w:val="1"/>
    <w:next w:val="1"/>
    <w:uiPriority w:val="4294967295"/>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qFormat/>
    <w:uiPriority w:val="0"/>
  </w:style>
  <w:style w:type="table" w:default="1" w:styleId="5">
    <w:name w:val="Normal Table"/>
    <w:uiPriority w:val="4294967295"/>
    <w:tblPr>
      <w:tblCellMar>
        <w:top w:w="0" w:type="dxa"/>
        <w:left w:w="108" w:type="dxa"/>
        <w:bottom w:w="0" w:type="dxa"/>
        <w:right w:w="108" w:type="dxa"/>
      </w:tblCellMar>
    </w:tblPr>
  </w:style>
  <w:style w:type="paragraph" w:styleId="3">
    <w:name w:val="Body Text"/>
    <w:basedOn w:val="1"/>
    <w:qFormat/>
    <w:uiPriority w:val="0"/>
    <w:pPr>
      <w:spacing w:line="240" w:lineRule="auto"/>
      <w:ind w:firstLine="0"/>
      <w:jc w:val="left"/>
    </w:pPr>
    <w:rPr>
      <w:rFonts w:ascii="宋体" w:hAnsi="宋体" w:eastAsia="宋体"/>
      <w:color w:val="000000"/>
      <w:sz w:val="21"/>
    </w:rPr>
  </w:style>
  <w:style w:type="paragraph" w:styleId="4">
    <w:name w:val="Normal (Web)"/>
    <w:basedOn w:val="1"/>
    <w:qFormat/>
    <w:uiPriority w:val="0"/>
    <w:pPr>
      <w:jc w:val="left"/>
    </w:pPr>
  </w:style>
  <w:style w:type="character" w:styleId="7">
    <w:name w:val="Strong"/>
    <w:basedOn w:val="6"/>
    <w:uiPriority w:val="4294967295"/>
    <w:rPr>
      <w:b/>
    </w:rPr>
  </w:style>
  <w:style w:type="paragraph" w:customStyle="1" w:styleId="8">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宋体" w:hAnsi="宋体" w:eastAsia="宋体"/>
      <w:color w:val="auto"/>
      <w:sz w:val="24"/>
      <w:shd w:val="clear" w:fill="auto"/>
    </w:rPr>
  </w:style>
  <w:style w:type="paragraph" w:customStyle="1" w:styleId="9">
    <w:name w:val="fulltext_text"/>
    <w:basedOn w:val="1"/>
    <w:qFormat/>
    <w:uiPriority w:val="0"/>
    <w:pPr>
      <w:spacing w:line="525" w:lineRule="atLeast"/>
      <w:ind w:firstLine="0"/>
      <w:jc w:val="left"/>
    </w:pPr>
    <w:rPr>
      <w:rFonts w:ascii="宋体" w:hAnsi="宋体" w:eastAsia="宋体"/>
    </w:rPr>
  </w:style>
  <w:style w:type="paragraph" w:customStyle="1" w:styleId="10">
    <w:name w:val="Table Text"/>
    <w:basedOn w:val="1"/>
    <w:qFormat/>
    <w:uiPriority w:val="0"/>
    <w:pPr>
      <w:spacing w:line="240" w:lineRule="auto"/>
      <w:ind w:firstLine="0"/>
      <w:jc w:val="left"/>
    </w:pPr>
    <w:rPr>
      <w:rFonts w:ascii="微软雅黑" w:hAnsi="微软雅黑" w:eastAsia="微软雅黑"/>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12515</Words>
  <Characters>13301</Characters>
  <TotalTime>1</TotalTime>
  <ScaleCrop>false</ScaleCrop>
  <LinksUpToDate>false</LinksUpToDate>
  <CharactersWithSpaces>13859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2026-03-24T08:42:31Z</dcterms:created>
  <dc:creator>shiyi</dc:creator>
  <cp:lastModifiedBy>CI</cp:lastModifiedBy>
  <dcterms:modified xsi:type="dcterms:W3CDTF">2026-03-24T08:44:03Z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eyJoZGlkIjoiOTM3YTZhMmQ5YjRkYWU4ZjU1Y2RhODcyN2E4MDQ1YWIiLCJ1c2VySWQiOiI0MzUzNTQ5NTIifQ==</vt:lpwstr>
  </property>
  <property fmtid="{D5CDD505-2E9C-101B-9397-08002B2CF9AE}" pid="3" name="KSOProductBuildVer">
    <vt:lpwstr>2052-12.1.0.25225</vt:lpwstr>
  </property>
  <property fmtid="{D5CDD505-2E9C-101B-9397-08002B2CF9AE}" pid="4" name="ICV">
    <vt:lpwstr>A5CD86F5324E4C5A958C4DF40ECE6794_13</vt:lpwstr>
  </property>
</Properties>
</file>